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Lines w:val="1"/>
        <w:widowControl w:val="0"/>
        <w:spacing w:after="240" w:before="240" w:line="240" w:lineRule="auto"/>
        <w:jc w:val="center"/>
        <w:rPr>
          <w:rFonts w:ascii="Arial" w:cs="Arial" w:eastAsia="Arial" w:hAnsi="Arial"/>
          <w:b w:val="1"/>
          <w:color w:val="073763"/>
          <w:sz w:val="38"/>
          <w:szCs w:val="38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73763"/>
          <w:sz w:val="38"/>
          <w:szCs w:val="38"/>
          <w:highlight w:val="white"/>
          <w:rtl w:val="0"/>
        </w:rPr>
        <w:t xml:space="preserve">Silvânio Fernandes Da Silva</w:t>
      </w:r>
    </w:p>
    <w:p w:rsidR="00000000" w:rsidDel="00000000" w:rsidP="00000000" w:rsidRDefault="00000000" w:rsidRPr="00000000" w14:paraId="00000002">
      <w:pPr>
        <w:keepLines w:val="1"/>
        <w:widowControl w:val="0"/>
        <w:spacing w:after="0" w:line="240" w:lineRule="auto"/>
        <w:jc w:val="center"/>
        <w:rPr>
          <w:highlight w:val="white"/>
        </w:rPr>
      </w:pPr>
      <w:r w:rsidDel="00000000" w:rsidR="00000000" w:rsidRPr="00000000">
        <w:rPr>
          <w:highlight w:val="white"/>
        </w:rPr>
        <w:drawing>
          <wp:inline distB="0" distT="0" distL="0" distR="0">
            <wp:extent cx="126000" cy="93600"/>
            <wp:effectExtent b="0" l="0" r="0" t="0"/>
            <wp:docPr id="16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000" cy="9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highlight w:val="white"/>
          <w:rtl w:val="0"/>
        </w:rPr>
        <w:t xml:space="preserve"> silvaniofernandes@live.com </w:t>
      </w:r>
      <w:r w:rsidDel="00000000" w:rsidR="00000000" w:rsidRPr="00000000">
        <w:rPr>
          <w:highlight w:val="white"/>
        </w:rPr>
        <w:drawing>
          <wp:inline distB="0" distT="0" distL="0" distR="0">
            <wp:extent cx="136800" cy="133200"/>
            <wp:effectExtent b="0" l="0" r="0" t="0"/>
            <wp:docPr id="16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800" cy="13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highlight w:val="white"/>
          <w:rtl w:val="0"/>
        </w:rPr>
        <w:t xml:space="preserve"> (62) 99178 - 5344  </w:t>
      </w:r>
      <w:r w:rsidDel="00000000" w:rsidR="00000000" w:rsidRPr="00000000">
        <w:rPr>
          <w:sz w:val="36.66666666666667"/>
          <w:szCs w:val="36.66666666666667"/>
          <w:highlight w:val="white"/>
          <w:vertAlign w:val="subscript"/>
        </w:rPr>
        <w:drawing>
          <wp:inline distB="0" distT="0" distL="0" distR="0">
            <wp:extent cx="91363" cy="137044"/>
            <wp:effectExtent b="0" l="0" r="0" t="0"/>
            <wp:docPr id="16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63" cy="1370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highlight w:val="white"/>
          <w:rtl w:val="0"/>
        </w:rPr>
        <w:t xml:space="preserve"> Goiânia/GO</w:t>
      </w:r>
    </w:p>
    <w:p w:rsidR="00000000" w:rsidDel="00000000" w:rsidP="00000000" w:rsidRDefault="00000000" w:rsidRPr="00000000" w14:paraId="00000003">
      <w:pPr>
        <w:keepLines w:val="1"/>
        <w:widowControl w:val="0"/>
        <w:spacing w:after="0" w:line="240" w:lineRule="auto"/>
        <w:jc w:val="cente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1"/>
        <w:widowControl w:val="1"/>
        <w:spacing w:after="0" w:line="240" w:lineRule="auto"/>
        <w:jc w:val="center"/>
        <w:rPr>
          <w:highlight w:val="white"/>
        </w:rPr>
      </w:pPr>
      <w:hyperlink r:id="rId1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Lines w:val="1"/>
        <w:widowControl w:val="1"/>
        <w:pBdr>
          <w:bottom w:color="000000" w:space="1" w:sz="4" w:val="single"/>
        </w:pBdr>
        <w:spacing w:line="240" w:lineRule="auto"/>
        <w:rPr>
          <w:color w:val="073763"/>
          <w:sz w:val="20"/>
          <w:szCs w:val="20"/>
        </w:rPr>
      </w:pPr>
      <w:r w:rsidDel="00000000" w:rsidR="00000000" w:rsidRPr="00000000">
        <w:rPr>
          <w:b w:val="1"/>
          <w:color w:val="073763"/>
          <w:sz w:val="24"/>
          <w:szCs w:val="24"/>
          <w:rtl w:val="0"/>
        </w:rPr>
        <w:t xml:space="preserve">OBJETIVO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Atuar na área Comercial</w:t>
      </w:r>
    </w:p>
    <w:p w:rsidR="00000000" w:rsidDel="00000000" w:rsidP="00000000" w:rsidRDefault="00000000" w:rsidRPr="00000000" w14:paraId="00000007">
      <w:pPr>
        <w:keepLines w:val="1"/>
        <w:widowControl w:val="1"/>
        <w:pBdr>
          <w:bottom w:color="000000" w:space="1" w:sz="4" w:val="single"/>
        </w:pBdr>
        <w:spacing w:line="240" w:lineRule="auto"/>
        <w:rPr>
          <w:highlight w:val="white"/>
        </w:rPr>
      </w:pPr>
      <w:r w:rsidDel="00000000" w:rsidR="00000000" w:rsidRPr="00000000">
        <w:rPr>
          <w:b w:val="1"/>
          <w:color w:val="073763"/>
          <w:sz w:val="24"/>
          <w:szCs w:val="24"/>
          <w:rtl w:val="0"/>
        </w:rPr>
        <w:t xml:space="preserve">RESUMO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Profissional com sólida formação em Administração pela UENP (2012-2016) e ampla experiência em vendas e atendimento no setor de telecomunicações e serviços financeiros. Atuou como consultor sênior na TIM Brasil, desenvolvendo soluções personalizadas e expandindo carteira de clientes Pessoa Jurídica. Forte atuação em prospecção ativa, negociação e fidelização, com histórico comprovado de cumprimento de metas. Experiência em atendimento bancário no Sicoob Lojicred, com controle rigoroso de operações financeiras. Histórico de vendas consultivas em empresas como Claro, Vivo e Orizon, com foco em produtos e serviços de telefonia móvel e fixa. Possuo certificações em CPA-20, estratégia de negócios, comunicação empresarial, empreendedorismo e marketing pessoal, que fortalecem minha qualificação profissional. </w:t>
      </w:r>
    </w:p>
    <w:p w:rsidR="00000000" w:rsidDel="00000000" w:rsidP="00000000" w:rsidRDefault="00000000" w:rsidRPr="00000000" w14:paraId="00000009">
      <w:pPr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Tenho interesse em atuar no</w:t>
      </w:r>
      <w:r w:rsidDel="00000000" w:rsidR="00000000" w:rsidRPr="00000000">
        <w:rPr>
          <w:b w:val="1"/>
          <w:rtl w:val="0"/>
        </w:rPr>
        <w:t xml:space="preserve"> segmento bancário e financeiro</w:t>
      </w:r>
      <w:r w:rsidDel="00000000" w:rsidR="00000000" w:rsidRPr="00000000">
        <w:rPr>
          <w:rtl w:val="0"/>
        </w:rPr>
        <w:t xml:space="preserve">, buscando contribuir com minhas habilidades e experiência para o crescimento da organização.</w:t>
      </w:r>
    </w:p>
    <w:p w:rsidR="00000000" w:rsidDel="00000000" w:rsidP="00000000" w:rsidRDefault="00000000" w:rsidRPr="00000000" w14:paraId="0000000A">
      <w:pPr>
        <w:keepLines w:val="1"/>
        <w:widowControl w:val="1"/>
        <w:pBdr>
          <w:bottom w:color="000000" w:space="1" w:sz="4" w:val="single"/>
        </w:pBdr>
        <w:spacing w:line="240" w:lineRule="auto"/>
        <w:rPr>
          <w:b w:val="1"/>
        </w:rPr>
      </w:pPr>
      <w:r w:rsidDel="00000000" w:rsidR="00000000" w:rsidRPr="00000000">
        <w:rPr>
          <w:b w:val="1"/>
          <w:color w:val="073763"/>
          <w:sz w:val="24"/>
          <w:szCs w:val="24"/>
          <w:rtl w:val="0"/>
        </w:rPr>
        <w:t xml:space="preserve">FORMAÇÃO ACADÊMICA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Lines w:val="1"/>
        <w:numPr>
          <w:ilvl w:val="0"/>
          <w:numId w:val="3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="276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Bacharelado em Administração </w:t>
      </w:r>
      <w:r w:rsidDel="00000000" w:rsidR="00000000" w:rsidRPr="00000000">
        <w:rPr>
          <w:highlight w:val="white"/>
          <w:rtl w:val="0"/>
        </w:rPr>
        <w:t xml:space="preserve">– Universidade Estadual do Norte do Paraná (UENP), 2012 –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Lines w:val="1"/>
        <w:widowControl w:val="1"/>
        <w:pBdr>
          <w:bottom w:color="000000" w:space="1" w:sz="4" w:val="single"/>
        </w:pBdr>
        <w:spacing w:line="276" w:lineRule="auto"/>
        <w:rPr>
          <w:b w:val="1"/>
          <w:color w:val="073763"/>
        </w:rPr>
      </w:pPr>
      <w:r w:rsidDel="00000000" w:rsidR="00000000" w:rsidRPr="00000000">
        <w:rPr>
          <w:b w:val="1"/>
          <w:color w:val="073763"/>
          <w:sz w:val="24"/>
          <w:szCs w:val="24"/>
          <w:rtl w:val="0"/>
        </w:rPr>
        <w:t xml:space="preserve">EXPERIÊNCIA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TIM Brasil | Consultor Sênior | 02/2024 – atual 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24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Comercialização de aparelhos celulares e planos de internet móvel e fixa, com foco em soluções personalizadas.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Prospecção ativa e relacionamento estratégico para identificação de necessidades e oferta de soluções.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Análise do mercado e concorrência para identificar oportunidades comerciais.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Negociação e fechamento de contratos, assegurando o cumprimento das metas.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Atendimento focado na satisfação e fidelização dos clientes.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240" w:before="0" w:beforeAutospacing="0" w:line="240" w:lineRule="auto"/>
        <w:ind w:left="720" w:hanging="360"/>
        <w:rPr>
          <w:b w:val="1"/>
          <w:u w:val="none"/>
        </w:rPr>
      </w:pPr>
      <w:r w:rsidDel="00000000" w:rsidR="00000000" w:rsidRPr="00000000">
        <w:rPr>
          <w:rtl w:val="0"/>
        </w:rPr>
        <w:t xml:space="preserve">Expansão da carteira de clientes PJ por meio do desenvolvimento de relacionamentos comerciais.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Sicoob Lojicred 3300 | Agente de Caixa | 02/2022 – 08/2023 (1 ano e 7 meses)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pacing w:after="0" w:afterAutospacing="0" w:before="24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Abertura e fechamento de caixa, com conferência e controle rigoroso das movimentações financeiras.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Processamento de cheques e demais transações bancárias com precisão e conformidade às normas.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Abastecimento e conferência de caixas eletrônicos (ATM), garantindo disponibilidade e segurança.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Apoio à tesouraria no controle de fluxo de caixa e conciliação de valores.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pacing w:after="240" w:before="0" w:beforeAutospacing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Atendimento direto aos cooperados, realizando operações financeiras e oferecendo soluções alinhadas às suas necessidades.</w:t>
      </w:r>
    </w:p>
    <w:p w:rsidR="00000000" w:rsidDel="00000000" w:rsidP="00000000" w:rsidRDefault="00000000" w:rsidRPr="00000000" w14:paraId="0000001A">
      <w:pPr>
        <w:spacing w:after="240" w:before="240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Claro Brasil | Consultor de Vendas Sênior | 11/2019 – 11/2021 (2 anos e 1 mês)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Atendimento ao cliente em loja própria, com foco em vendas de serviços de telefonia e dados.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Esclarecimento de informações técnicas sobre produtos e serviços, garantindo uma comunicação clara e eficiente.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Suporte consultivo à equipe comercial e aos clientes, auxiliando na identificação e definição da solução mais adequada às necessidades.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Atuação proativa no pós-venda, visando à fidelização de clientes e à melhoria contínua da experiência do consumidor.</w:t>
      </w:r>
    </w:p>
    <w:p w:rsidR="00000000" w:rsidDel="00000000" w:rsidP="00000000" w:rsidRDefault="00000000" w:rsidRPr="00000000" w14:paraId="0000001F">
      <w:pPr>
        <w:spacing w:after="240" w:before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Orizon | Vendedor Externo | 03/2017 - 10/2019 (2 anos e 8 meses)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24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Realizar vendas externas de produtos e serviços de telecomunicações, como aparelhos celulares, planos de internet móvel e fixa.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Prospectar e conquistar novos clientes, especialmente no segmento Pessoa Jurídica (PJ).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Apresentar soluções personalizadas de acordo com as necessidades de cada cliente.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Manter relacionamento próximo com a carteira de clientes para garantir satisfação e fidelização.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Elaborar propostas comerciais, negociar condições e fechar contratos.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24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Realizar visitas regulares aos clientes, acompanhando o andamento dos contratos e identificando novas oportunidades de negócio.</w:t>
      </w:r>
    </w:p>
    <w:p w:rsidR="00000000" w:rsidDel="00000000" w:rsidP="00000000" w:rsidRDefault="00000000" w:rsidRPr="00000000" w14:paraId="00000026">
      <w:pPr>
        <w:spacing w:after="240" w:before="240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Vivo (Telefônica Brasil) | Consultor de Negócios Sênior | 03/2015 – 02/2017 (1 ano e 11 meses)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0" w:afterAutospacing="0" w:before="24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Realização de visitas comerciais a clientes em campo, apresentando produtos e soluções de forma personalizada.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Prospecção e negociação com clientes Pessoa Jurídica (PJ), identificando oportunidades e necessidades específicas.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Elaboração e acompanhamento de propostas comerciais, visando o fechamento de contratos vantajosos para ambas as partes.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Gestão do relacionamento pós-venda, garantindo a satisfação do cliente e incentivando novas negociações.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spacing w:after="24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Planejamento e organização da agenda de visitas para otimizar tempo e maximizar resultados.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Lojas Renner S.A. | Vendas de Produtos Financeiros | 07/2012 – 01/2015 (2 anos e 7 meses)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24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Comercialização de produtos e serviços financeiros, como cartões de crédito, seguros e empréstimos pessoais.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Abordagem ativa de clientes no ambiente da loja para apresentação das soluções financeiras disponíveis.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24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Cumprimento de metas individuais e coletivas, com foco em resultados e excelência no atendimento.</w:t>
      </w:r>
    </w:p>
    <w:p w:rsidR="00000000" w:rsidDel="00000000" w:rsidP="00000000" w:rsidRDefault="00000000" w:rsidRPr="00000000" w14:paraId="00000030">
      <w:pPr>
        <w:keepLines w:val="1"/>
        <w:pBdr>
          <w:bottom w:color="000000" w:space="1" w:sz="4" w:val="single"/>
        </w:pBdr>
        <w:spacing w:line="240" w:lineRule="auto"/>
        <w:rPr>
          <w:sz w:val="26"/>
          <w:szCs w:val="26"/>
        </w:rPr>
      </w:pPr>
      <w:r w:rsidDel="00000000" w:rsidR="00000000" w:rsidRPr="00000000">
        <w:rPr>
          <w:b w:val="1"/>
          <w:color w:val="073763"/>
          <w:sz w:val="24"/>
          <w:szCs w:val="24"/>
          <w:rtl w:val="0"/>
        </w:rPr>
        <w:t xml:space="preserve">CERTIFICAÇÕES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Lines w:val="1"/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afterAutospacing="0" w:before="240" w:line="276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Aprovação CPA-20</w:t>
      </w:r>
      <w:r w:rsidDel="00000000" w:rsidR="00000000" w:rsidRPr="00000000">
        <w:rPr>
          <w:rtl w:val="0"/>
        </w:rPr>
        <w:t xml:space="preserve"> – Concluído</w:t>
      </w:r>
    </w:p>
    <w:p w:rsidR="00000000" w:rsidDel="00000000" w:rsidP="00000000" w:rsidRDefault="00000000" w:rsidRPr="00000000" w14:paraId="00000032">
      <w:pPr>
        <w:keepLines w:val="1"/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Estratégia de Negócios</w:t>
      </w:r>
      <w:r w:rsidDel="00000000" w:rsidR="00000000" w:rsidRPr="00000000">
        <w:rPr>
          <w:rtl w:val="0"/>
        </w:rPr>
        <w:t xml:space="preserve"> – Fundação Bradesco – Concluído</w:t>
      </w:r>
    </w:p>
    <w:p w:rsidR="00000000" w:rsidDel="00000000" w:rsidP="00000000" w:rsidRDefault="00000000" w:rsidRPr="00000000" w14:paraId="00000033">
      <w:pPr>
        <w:keepLines w:val="1"/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Comunicação Empresarial e Atendimento ao Público</w:t>
      </w:r>
      <w:r w:rsidDel="00000000" w:rsidR="00000000" w:rsidRPr="00000000">
        <w:rPr>
          <w:rtl w:val="0"/>
        </w:rPr>
        <w:t xml:space="preserve"> – Fundação Bradesco – Concluído</w:t>
      </w:r>
    </w:p>
    <w:p w:rsidR="00000000" w:rsidDel="00000000" w:rsidP="00000000" w:rsidRDefault="00000000" w:rsidRPr="00000000" w14:paraId="00000034">
      <w:pPr>
        <w:keepLines w:val="1"/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Empreendedorismo e Inovação</w:t>
      </w:r>
      <w:r w:rsidDel="00000000" w:rsidR="00000000" w:rsidRPr="00000000">
        <w:rPr>
          <w:rtl w:val="0"/>
        </w:rPr>
        <w:t xml:space="preserve"> – Fundação Bradesco – Concluído</w:t>
      </w:r>
    </w:p>
    <w:p w:rsidR="00000000" w:rsidDel="00000000" w:rsidP="00000000" w:rsidRDefault="00000000" w:rsidRPr="00000000" w14:paraId="00000035">
      <w:pPr>
        <w:keepLines w:val="1"/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Marketing Pessoal, Gestão do Tempo e Formação para o Trabalho</w:t>
      </w:r>
      <w:r w:rsidDel="00000000" w:rsidR="00000000" w:rsidRPr="00000000">
        <w:rPr>
          <w:rtl w:val="0"/>
        </w:rPr>
        <w:t xml:space="preserve"> – Concluído</w:t>
      </w:r>
    </w:p>
    <w:sectPr>
      <w:headerReference r:id="rId11" w:type="default"/>
      <w:headerReference r:id="rId12" w:type="even"/>
      <w:footerReference r:id="rId13" w:type="default"/>
      <w:footerReference r:id="rId14" w:type="even"/>
      <w:pgSz w:h="16838" w:w="11906" w:orient="portrait"/>
      <w:pgMar w:bottom="851" w:top="709" w:left="567" w:right="56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F053B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http://www.linkedin.com/in/silvanio-fernandes-4a8998a0" TargetMode="External"/><Relationship Id="rId13" Type="http://schemas.openxmlformats.org/officeDocument/2006/relationships/footer" Target="foot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MLSq/seVc5jyUQe7/1UYBVu+mw==">CgMxLjA4AHIhMWxIUkM2U3hJMFowR1JDQmc5YXRRRExxM1A0dFpXRHBZ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2022-09-29T15:31:00Z</dcterms:created>
  <dc:creator>William Gualberto da Silva Oliveira</dc:creator>
</cp:coreProperties>
</file>